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8"/>
          <w:szCs w:val="28"/>
        </w:rPr>
      </w:pPr>
      <w:proofErr w:type="spellStart"/>
      <w:r w:rsidRPr="00780F85">
        <w:rPr>
          <w:rFonts w:ascii="SimSun" w:hAnsi="SimSun" w:cs="SimSun"/>
          <w:b/>
          <w:color w:val="C00000"/>
          <w:sz w:val="28"/>
          <w:szCs w:val="28"/>
        </w:rPr>
        <w:t>Everlay</w:t>
      </w:r>
      <w:proofErr w:type="spellEnd"/>
    </w:p>
    <w:p w:rsidR="00780F85" w:rsidRDefault="00780F85" w:rsidP="00780F85">
      <w:pPr>
        <w:spacing w:line="220" w:lineRule="atLeast"/>
        <w:rPr>
          <w:rFonts w:ascii="SimSun" w:hAnsi="SimSun" w:cs="SimSun" w:hint="eastAsia"/>
          <w:color w:val="000000"/>
          <w:sz w:val="21"/>
          <w:szCs w:val="21"/>
        </w:rPr>
      </w:pPr>
      <w:r>
        <w:rPr>
          <w:rFonts w:ascii="SimSun" w:hAnsi="SimSun" w:cs="SimSun" w:hint="eastAsia"/>
          <w:noProof/>
          <w:color w:val="000000"/>
          <w:sz w:val="21"/>
          <w:szCs w:val="21"/>
        </w:rPr>
        <w:drawing>
          <wp:inline distT="0" distB="0" distL="0" distR="0">
            <wp:extent cx="5267325" cy="1514475"/>
            <wp:effectExtent l="19050" t="0" r="9525" b="0"/>
            <wp:docPr id="14" name="图片 14" descr="C:\Users\YAKIUSER10\Desktop\体育产品色块及效果图\everlay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KIUSER10\Desktop\体育产品色块及效果图\everlay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产品介绍：</w:t>
      </w:r>
    </w:p>
    <w:p w:rsidR="00780F85" w:rsidRPr="00780F85" w:rsidRDefault="00780F85" w:rsidP="00780F85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proofErr w:type="spellStart"/>
      <w:r w:rsidRPr="00780F85">
        <w:rPr>
          <w:rFonts w:ascii="SimSun" w:hAnsi="SimSun" w:cs="SimSun"/>
          <w:color w:val="000000"/>
          <w:sz w:val="21"/>
          <w:szCs w:val="21"/>
        </w:rPr>
        <w:t>Everlay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底垫是一款优质稳定，防水，绝缘衬垫，可铺装</w:t>
      </w:r>
      <w:proofErr w:type="gramStart"/>
      <w:r w:rsidRPr="00780F85">
        <w:rPr>
          <w:rFonts w:ascii="SimSun" w:hAnsi="SimSun" w:cs="SimSun" w:hint="eastAsia"/>
          <w:color w:val="000000"/>
          <w:sz w:val="21"/>
          <w:szCs w:val="21"/>
        </w:rPr>
        <w:t>在盟多室内</w:t>
      </w:r>
      <w:proofErr w:type="gramEnd"/>
      <w:r w:rsidRPr="00780F85">
        <w:rPr>
          <w:rFonts w:ascii="SimSun" w:hAnsi="SimSun" w:cs="SimSun" w:hint="eastAsia"/>
          <w:color w:val="000000"/>
          <w:sz w:val="21"/>
          <w:szCs w:val="21"/>
        </w:rPr>
        <w:t>运动地板下使用。同时，</w:t>
      </w:r>
      <w:proofErr w:type="spellStart"/>
      <w:r w:rsidRPr="00780F85">
        <w:rPr>
          <w:rFonts w:ascii="SimSun" w:hAnsi="SimSun" w:cs="SimSun"/>
          <w:color w:val="000000"/>
          <w:sz w:val="21"/>
          <w:szCs w:val="21"/>
        </w:rPr>
        <w:t>Everlay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还可提高总体减震性。</w:t>
      </w:r>
    </w:p>
    <w:p w:rsidR="00780F85" w:rsidRDefault="00780F85" w:rsidP="00780F85">
      <w:pPr>
        <w:pStyle w:val="a5"/>
        <w:numPr>
          <w:ilvl w:val="0"/>
          <w:numId w:val="1"/>
        </w:numPr>
        <w:spacing w:line="220" w:lineRule="atLeast"/>
        <w:ind w:firstLineChars="0"/>
        <w:rPr>
          <w:rFonts w:ascii="SimSun" w:hAnsi="SimSun" w:cs="SimSun" w:hint="eastAsia"/>
          <w:color w:val="000000"/>
          <w:sz w:val="21"/>
          <w:szCs w:val="21"/>
        </w:rPr>
      </w:pPr>
      <w:r w:rsidRPr="00780F85">
        <w:rPr>
          <w:rFonts w:ascii="SimSun" w:hAnsi="SimSun" w:cs="SimSun"/>
          <w:color w:val="000000"/>
          <w:sz w:val="21"/>
          <w:szCs w:val="21"/>
        </w:rPr>
        <w:t>玻璃纤维衬垫</w:t>
      </w:r>
    </w:p>
    <w:p w:rsidR="00780F85" w:rsidRPr="00780F85" w:rsidRDefault="00780F85" w:rsidP="00780F85">
      <w:pPr>
        <w:spacing w:line="220" w:lineRule="atLeast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hint="eastAsia"/>
        </w:rPr>
        <w:drawing>
          <wp:inline distT="0" distB="0" distL="0" distR="0">
            <wp:extent cx="5267325" cy="1495425"/>
            <wp:effectExtent l="19050" t="0" r="9525" b="0"/>
            <wp:docPr id="1" name="图片 15" descr="C:\Users\YAKIUSER10\Desktop\体育产品色块及效果图\everlay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YAKIUSER10\Desktop\体育产品色块及效果图\everlay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功能优势：</w:t>
      </w:r>
    </w:p>
    <w:p w:rsidR="00780F85" w:rsidRPr="00780F85" w:rsidRDefault="00780F85" w:rsidP="00780F85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/>
          <w:color w:val="000000"/>
          <w:sz w:val="21"/>
          <w:szCs w:val="21"/>
        </w:rPr>
        <w:t>较高的防潮性</w:t>
      </w:r>
    </w:p>
    <w:p w:rsidR="00780F85" w:rsidRPr="00780F85" w:rsidRDefault="00780F85" w:rsidP="00780F85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/>
          <w:color w:val="000000"/>
          <w:sz w:val="21"/>
          <w:szCs w:val="21"/>
        </w:rPr>
        <w:t>安装简易</w:t>
      </w:r>
    </w:p>
    <w:p w:rsidR="00780F85" w:rsidRPr="00780F85" w:rsidRDefault="00780F85" w:rsidP="00780F85">
      <w:pPr>
        <w:pStyle w:val="a5"/>
        <w:numPr>
          <w:ilvl w:val="0"/>
          <w:numId w:val="2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可无胶铺设</w:t>
      </w:r>
      <w:r w:rsidRPr="00780F85">
        <w:rPr>
          <w:rFonts w:ascii="Arial" w:hAnsi="Arial" w:cs="Arial"/>
          <w:color w:val="000000"/>
          <w:sz w:val="21"/>
          <w:szCs w:val="21"/>
        </w:rPr>
        <w:t></w:t>
      </w: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适用范围：</w:t>
      </w:r>
    </w:p>
    <w:p w:rsidR="00780F85" w:rsidRPr="00780F85" w:rsidRDefault="00780F85" w:rsidP="00780F85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/>
          <w:color w:val="000000"/>
          <w:sz w:val="21"/>
          <w:szCs w:val="21"/>
        </w:rPr>
        <w:t>基层潮湿区域</w:t>
      </w:r>
    </w:p>
    <w:p w:rsidR="00780F85" w:rsidRPr="00780F85" w:rsidRDefault="00780F85" w:rsidP="00780F85">
      <w:pPr>
        <w:pStyle w:val="a5"/>
        <w:numPr>
          <w:ilvl w:val="0"/>
          <w:numId w:val="3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临时性地板安装</w:t>
      </w: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技术特征：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玻璃纤维底垫，两面均有合成树脂和弹性体，底部有一系列的膨胀树脂。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可直接干铺在地板基础上，形成连续的防潮基底。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proofErr w:type="gramStart"/>
      <w:r w:rsidRPr="00780F85">
        <w:rPr>
          <w:rFonts w:ascii="SimSun" w:hAnsi="SimSun" w:cs="SimSun" w:hint="eastAsia"/>
          <w:color w:val="000000"/>
          <w:sz w:val="21"/>
          <w:szCs w:val="21"/>
        </w:rPr>
        <w:t>盟多室内</w:t>
      </w:r>
      <w:proofErr w:type="gramEnd"/>
      <w:r w:rsidRPr="00780F85">
        <w:rPr>
          <w:rFonts w:ascii="SimSun" w:hAnsi="SimSun" w:cs="SimSun" w:hint="eastAsia"/>
          <w:color w:val="000000"/>
          <w:sz w:val="21"/>
          <w:szCs w:val="21"/>
        </w:rPr>
        <w:t>体育地板铺于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Everlay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上方，并用专用胶粘贴。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lastRenderedPageBreak/>
        <w:t>在底层铺装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Everlay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底垫后，无需等水泥基层完全变干，且地板在使用寿命结束时易于拆除。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EVERLAY A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（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1.2MM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）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可结合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Mondflexll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，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Mondflex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和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Mondospore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 xml:space="preserve"> l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使用，用最小的厚度实现防潮功能。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EVERLAY B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（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4MM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）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结合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Mondflexll,Mongdflex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或者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Mondosport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 xml:space="preserve"> l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使用，减震性提高到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35%KA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，符合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EN14904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标准对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P2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地板的要求。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EVERLAY EG2(6.5MM)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可结合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Mondflex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使用。对于该厚度类型，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Everlay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保证了</w:t>
      </w:r>
      <w:proofErr w:type="gramStart"/>
      <w:r w:rsidRPr="00780F85">
        <w:rPr>
          <w:rFonts w:ascii="SimSun" w:hAnsi="SimSun" w:cs="SimSun" w:hint="eastAsia"/>
          <w:color w:val="000000"/>
          <w:sz w:val="21"/>
          <w:szCs w:val="21"/>
        </w:rPr>
        <w:t>高耐潮性</w:t>
      </w:r>
      <w:proofErr w:type="gramEnd"/>
      <w:r w:rsidRPr="00780F85">
        <w:rPr>
          <w:rFonts w:ascii="SimSun" w:hAnsi="SimSun" w:cs="SimSun" w:hint="eastAsia"/>
          <w:color w:val="000000"/>
          <w:sz w:val="21"/>
          <w:szCs w:val="21"/>
        </w:rPr>
        <w:t>和高减震性。</w:t>
      </w:r>
    </w:p>
    <w:p w:rsidR="00780F85" w:rsidRPr="00780F85" w:rsidRDefault="00780F85" w:rsidP="00780F85">
      <w:pPr>
        <w:pStyle w:val="a5"/>
        <w:numPr>
          <w:ilvl w:val="0"/>
          <w:numId w:val="4"/>
        </w:numPr>
        <w:spacing w:line="220" w:lineRule="atLeast"/>
        <w:ind w:firstLineChars="0"/>
        <w:rPr>
          <w:rFonts w:ascii="SimSun" w:hAnsi="SimSun" w:cs="SimSun"/>
          <w:color w:val="000000"/>
          <w:sz w:val="21"/>
          <w:szCs w:val="21"/>
        </w:rPr>
      </w:pPr>
      <w:r w:rsidRPr="00780F85">
        <w:rPr>
          <w:rFonts w:ascii="SimSun" w:hAnsi="SimSun" w:cs="SimSun" w:hint="eastAsia"/>
          <w:color w:val="000000"/>
          <w:sz w:val="21"/>
          <w:szCs w:val="21"/>
        </w:rPr>
        <w:t>结合</w:t>
      </w:r>
      <w:proofErr w:type="spellStart"/>
      <w:r w:rsidRPr="00780F85">
        <w:rPr>
          <w:rFonts w:ascii="SimSun" w:hAnsi="SimSun" w:cs="SimSun" w:hint="eastAsia"/>
          <w:color w:val="000000"/>
          <w:sz w:val="21"/>
          <w:szCs w:val="21"/>
        </w:rPr>
        <w:t>Mondflex</w:t>
      </w:r>
      <w:proofErr w:type="spellEnd"/>
      <w:r w:rsidRPr="00780F85">
        <w:rPr>
          <w:rFonts w:ascii="SimSun" w:hAnsi="SimSun" w:cs="SimSun" w:hint="eastAsia"/>
          <w:color w:val="000000"/>
          <w:sz w:val="21"/>
          <w:szCs w:val="21"/>
        </w:rPr>
        <w:t>使用，建筑性高于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30%KA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，符合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EN14904</w:t>
      </w:r>
      <w:r w:rsidRPr="00780F85">
        <w:rPr>
          <w:rFonts w:ascii="SimSun" w:hAnsi="SimSun" w:cs="SimSun" w:hint="eastAsia"/>
          <w:color w:val="000000"/>
          <w:sz w:val="21"/>
          <w:szCs w:val="21"/>
        </w:rPr>
        <w:t>标准。</w:t>
      </w: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EVERLAY A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厚度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1.2mm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卷长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50m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proofErr w:type="gramStart"/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卷宽</w:t>
            </w:r>
            <w:proofErr w:type="gramEnd"/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200cm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重量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1.05kg/m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</w:p>
        </w:tc>
      </w:tr>
    </w:tbl>
    <w:p w:rsidR="00780F85" w:rsidRPr="007F15C8" w:rsidRDefault="00780F85" w:rsidP="00780F85">
      <w:pPr>
        <w:spacing w:line="220" w:lineRule="atLeast"/>
        <w:rPr>
          <w:rFonts w:ascii="SimSun" w:hAnsi="SimSun" w:cs="SimSun"/>
          <w:color w:val="000000"/>
          <w:sz w:val="21"/>
          <w:szCs w:val="21"/>
        </w:rPr>
      </w:pP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EVERLAY B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厚度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4mm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卷长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25m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proofErr w:type="gramStart"/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卷宽</w:t>
            </w:r>
            <w:proofErr w:type="gramEnd"/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200cm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重量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1.7kg/m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</w:p>
        </w:tc>
      </w:tr>
    </w:tbl>
    <w:p w:rsidR="00780F85" w:rsidRDefault="00780F85" w:rsidP="00780F85">
      <w:pPr>
        <w:spacing w:line="220" w:lineRule="atLeast"/>
        <w:rPr>
          <w:rFonts w:ascii="SimSun" w:hAnsi="SimSun" w:cs="SimSun" w:hint="eastAsia"/>
          <w:b/>
          <w:color w:val="C00000"/>
          <w:sz w:val="21"/>
          <w:szCs w:val="21"/>
        </w:rPr>
      </w:pPr>
    </w:p>
    <w:p w:rsidR="00780F85" w:rsidRPr="00780F85" w:rsidRDefault="00780F85" w:rsidP="00780F85">
      <w:pPr>
        <w:spacing w:line="220" w:lineRule="atLeast"/>
        <w:rPr>
          <w:rFonts w:ascii="SimSun" w:hAnsi="SimSun" w:cs="SimSun"/>
          <w:b/>
          <w:color w:val="C00000"/>
          <w:sz w:val="21"/>
          <w:szCs w:val="21"/>
        </w:rPr>
      </w:pPr>
      <w:r w:rsidRPr="00780F85">
        <w:rPr>
          <w:rFonts w:ascii="SimSun" w:hAnsi="SimSun" w:cs="SimSun" w:hint="eastAsia"/>
          <w:b/>
          <w:color w:val="C00000"/>
          <w:sz w:val="21"/>
          <w:szCs w:val="21"/>
        </w:rPr>
        <w:t>EVERLAY EG2</w:t>
      </w:r>
    </w:p>
    <w:tbl>
      <w:tblPr>
        <w:tblStyle w:val="a3"/>
        <w:tblW w:w="0" w:type="auto"/>
        <w:tblLook w:val="04A0"/>
      </w:tblPr>
      <w:tblGrid>
        <w:gridCol w:w="4261"/>
        <w:gridCol w:w="4261"/>
      </w:tblGrid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厚度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6.5mm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卷长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20m</w:t>
            </w:r>
          </w:p>
        </w:tc>
      </w:tr>
      <w:tr w:rsidR="00780F85" w:rsidRPr="007F15C8" w:rsidTr="00E23546"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proofErr w:type="gramStart"/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卷宽</w:t>
            </w:r>
            <w:proofErr w:type="gramEnd"/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200cm</w:t>
            </w:r>
          </w:p>
        </w:tc>
      </w:tr>
      <w:tr w:rsidR="00780F85" w:rsidRPr="007F15C8" w:rsidTr="00780F85">
        <w:trPr>
          <w:trHeight w:val="461"/>
        </w:trPr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lastRenderedPageBreak/>
              <w:t>重量</w:t>
            </w:r>
          </w:p>
        </w:tc>
        <w:tc>
          <w:tcPr>
            <w:tcW w:w="4261" w:type="dxa"/>
          </w:tcPr>
          <w:p w:rsidR="00780F85" w:rsidRPr="007F15C8" w:rsidRDefault="00780F85" w:rsidP="00E23546">
            <w:pPr>
              <w:spacing w:line="220" w:lineRule="atLeast"/>
              <w:rPr>
                <w:rFonts w:ascii="SimSun" w:hAnsi="SimSun" w:cs="SimSun"/>
                <w:color w:val="000000"/>
                <w:sz w:val="21"/>
                <w:szCs w:val="21"/>
              </w:rPr>
            </w:pP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2.8kg/m</w:t>
            </w:r>
            <w:r w:rsidRPr="007F15C8">
              <w:rPr>
                <w:rFonts w:ascii="SimSun" w:hAnsi="SimSun" w:cs="SimSun" w:hint="eastAsia"/>
                <w:color w:val="000000"/>
                <w:sz w:val="21"/>
                <w:szCs w:val="21"/>
              </w:rPr>
              <w:t>²</w:t>
            </w:r>
          </w:p>
        </w:tc>
      </w:tr>
    </w:tbl>
    <w:p w:rsidR="001C7DCE" w:rsidRPr="00780F85" w:rsidRDefault="001C7DCE" w:rsidP="00780F85"/>
    <w:sectPr w:rsidR="001C7DCE" w:rsidRPr="00780F8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9526B"/>
    <w:multiLevelType w:val="hybridMultilevel"/>
    <w:tmpl w:val="4E5EEA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B35B53"/>
    <w:multiLevelType w:val="hybridMultilevel"/>
    <w:tmpl w:val="8806C7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9462E36"/>
    <w:multiLevelType w:val="hybridMultilevel"/>
    <w:tmpl w:val="0AFA8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907280"/>
    <w:multiLevelType w:val="hybridMultilevel"/>
    <w:tmpl w:val="D46E26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F85"/>
    <w:rsid w:val="001C7DCE"/>
    <w:rsid w:val="00780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F8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F85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80F85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80F85"/>
    <w:rPr>
      <w:rFonts w:ascii="Tahoma" w:eastAsia="微软雅黑" w:hAnsi="Tahoma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80F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YAKIUSER1</dc:creator>
  <cp:lastModifiedBy>YAKIUSER1</cp:lastModifiedBy>
  <cp:revision>2</cp:revision>
  <dcterms:created xsi:type="dcterms:W3CDTF">2016-01-18T03:50:00Z</dcterms:created>
  <dcterms:modified xsi:type="dcterms:W3CDTF">2016-01-18T03:57:00Z</dcterms:modified>
</cp:coreProperties>
</file>