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A7" w:rsidRPr="005751D8" w:rsidRDefault="005751D8" w:rsidP="005751D8">
      <w:pPr>
        <w:spacing w:line="480" w:lineRule="auto"/>
        <w:rPr>
          <w:rFonts w:ascii="Calibri" w:hAnsi="Calibri" w:cs="Calibri" w:hint="eastAsia"/>
          <w:b/>
          <w:bCs/>
          <w:color w:val="C00000"/>
          <w:sz w:val="32"/>
          <w:szCs w:val="32"/>
        </w:rPr>
      </w:pPr>
      <w:r w:rsidRPr="005751D8">
        <w:rPr>
          <w:rFonts w:ascii="Calibri" w:hAnsi="Calibri" w:cs="Calibri"/>
          <w:b/>
          <w:bCs/>
          <w:color w:val="C00000"/>
          <w:sz w:val="32"/>
          <w:szCs w:val="32"/>
        </w:rPr>
        <w:t>Fast Break System 2</w:t>
      </w:r>
    </w:p>
    <w:p w:rsidR="005751D8" w:rsidRDefault="005751D8" w:rsidP="005751D8">
      <w:pPr>
        <w:spacing w:line="480" w:lineRule="auto"/>
        <w:rPr>
          <w:rFonts w:hint="eastAsia"/>
        </w:rPr>
      </w:pPr>
      <w:r>
        <w:rPr>
          <w:noProof/>
        </w:rPr>
        <w:drawing>
          <wp:inline distT="0" distB="0" distL="0" distR="0">
            <wp:extent cx="4524375" cy="32575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D8" w:rsidRPr="005751D8" w:rsidRDefault="005751D8" w:rsidP="005751D8">
      <w:pPr>
        <w:spacing w:line="480" w:lineRule="auto"/>
        <w:rPr>
          <w:rFonts w:hint="eastAsia"/>
          <w:b/>
          <w:color w:val="C00000"/>
        </w:rPr>
      </w:pPr>
      <w:r w:rsidRPr="005751D8">
        <w:rPr>
          <w:rFonts w:hint="eastAsia"/>
          <w:b/>
          <w:color w:val="C00000"/>
        </w:rPr>
        <w:t>产品介绍</w:t>
      </w:r>
      <w:r>
        <w:rPr>
          <w:rFonts w:hint="eastAsia"/>
          <w:b/>
          <w:color w:val="C00000"/>
        </w:rPr>
        <w:t>：</w:t>
      </w:r>
    </w:p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 w:rsidRPr="00BB1621">
        <w:rPr>
          <w:rFonts w:hint="eastAsia"/>
          <w:sz w:val="21"/>
          <w:szCs w:val="21"/>
        </w:rPr>
        <w:t>模块化、</w:t>
      </w:r>
      <w:r>
        <w:rPr>
          <w:rFonts w:hint="eastAsia"/>
          <w:sz w:val="21"/>
          <w:szCs w:val="21"/>
        </w:rPr>
        <w:t>可移动式体育木地板或复合地板系统，可满足综合运动冠军级别的安全性能及需求。选用的木板款式是</w:t>
      </w:r>
      <w:r>
        <w:rPr>
          <w:rFonts w:hint="eastAsia"/>
          <w:sz w:val="21"/>
          <w:szCs w:val="21"/>
        </w:rPr>
        <w:t>2012</w:t>
      </w:r>
      <w:r>
        <w:rPr>
          <w:rFonts w:hint="eastAsia"/>
          <w:sz w:val="21"/>
          <w:szCs w:val="21"/>
        </w:rPr>
        <w:t>年伦敦奥运会官方指定的篮球比赛用木板。</w:t>
      </w:r>
    </w:p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复合板款式是自</w:t>
      </w:r>
      <w:r>
        <w:rPr>
          <w:rFonts w:hint="eastAsia"/>
          <w:sz w:val="21"/>
          <w:szCs w:val="21"/>
        </w:rPr>
        <w:t>2010</w:t>
      </w:r>
      <w:r>
        <w:rPr>
          <w:rFonts w:hint="eastAsia"/>
          <w:sz w:val="21"/>
          <w:szCs w:val="21"/>
        </w:rPr>
        <w:t>年起欧足联官方指定的室内无人知足球比赛用复合板。</w:t>
      </w:r>
    </w:p>
    <w:p w:rsidR="005751D8" w:rsidRDefault="005751D8" w:rsidP="005751D8">
      <w:pPr>
        <w:pStyle w:val="Default"/>
        <w:spacing w:after="70" w:line="480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Fast Break System 2</w:t>
      </w:r>
      <w:r>
        <w:rPr>
          <w:sz w:val="21"/>
          <w:szCs w:val="21"/>
        </w:rPr>
        <w:t>系统为通过</w:t>
      </w:r>
      <w:r>
        <w:rPr>
          <w:rFonts w:ascii="Calibri" w:hAnsi="Calibri" w:cs="Calibri"/>
          <w:sz w:val="21"/>
          <w:szCs w:val="21"/>
        </w:rPr>
        <w:t>FIBA LEVEL 1</w:t>
      </w:r>
      <w:r>
        <w:rPr>
          <w:sz w:val="21"/>
          <w:szCs w:val="21"/>
        </w:rPr>
        <w:t>认证的可拆卸木地板系统。</w:t>
      </w:r>
    </w:p>
    <w:p w:rsidR="005751D8" w:rsidRDefault="005751D8" w:rsidP="005751D8">
      <w:pPr>
        <w:pStyle w:val="Default"/>
        <w:spacing w:after="70" w:line="480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Fast Break System 2</w:t>
      </w:r>
      <w:r>
        <w:rPr>
          <w:sz w:val="21"/>
          <w:szCs w:val="21"/>
        </w:rPr>
        <w:t>木地板系统表层材质为</w:t>
      </w:r>
      <w:r>
        <w:rPr>
          <w:rFonts w:ascii="Calibri" w:hAnsi="Calibri" w:cs="Calibri"/>
          <w:sz w:val="21"/>
          <w:szCs w:val="21"/>
        </w:rPr>
        <w:t>4mm</w:t>
      </w:r>
      <w:r>
        <w:rPr>
          <w:sz w:val="21"/>
          <w:szCs w:val="21"/>
        </w:rPr>
        <w:t>的</w:t>
      </w:r>
      <w:proofErr w:type="gramStart"/>
      <w:r>
        <w:rPr>
          <w:sz w:val="21"/>
          <w:szCs w:val="21"/>
        </w:rPr>
        <w:t>榉</w:t>
      </w:r>
      <w:proofErr w:type="gramEnd"/>
      <w:r>
        <w:rPr>
          <w:sz w:val="21"/>
          <w:szCs w:val="21"/>
        </w:rPr>
        <w:t>木，橡木，或枫木。</w:t>
      </w:r>
    </w:p>
    <w:p w:rsidR="005751D8" w:rsidRDefault="005751D8" w:rsidP="005751D8">
      <w:pPr>
        <w:pStyle w:val="Default"/>
        <w:spacing w:after="70" w:line="480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sz w:val="21"/>
          <w:szCs w:val="21"/>
        </w:rPr>
        <w:t>可调节圆柱型橡胶支撑，高度为</w:t>
      </w:r>
      <w:r>
        <w:rPr>
          <w:rFonts w:ascii="Calibri" w:hAnsi="Calibri" w:cs="Calibri"/>
          <w:sz w:val="21"/>
          <w:szCs w:val="21"/>
        </w:rPr>
        <w:t>20mm</w:t>
      </w:r>
      <w:r>
        <w:rPr>
          <w:sz w:val="21"/>
          <w:szCs w:val="21"/>
        </w:rPr>
        <w:t>，具有良好的弹性性能。</w:t>
      </w:r>
    </w:p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ascii="Wingdings" w:hAnsi="Wingdings" w:cs="Wingdings"/>
          <w:sz w:val="21"/>
          <w:szCs w:val="21"/>
        </w:rPr>
        <w:t></w:t>
      </w:r>
      <w:r>
        <w:rPr>
          <w:rFonts w:ascii="Wingdings" w:hAnsi="Wingdings" w:cs="Wingdings"/>
          <w:sz w:val="21"/>
          <w:szCs w:val="21"/>
        </w:rPr>
        <w:t></w:t>
      </w:r>
      <w:r>
        <w:rPr>
          <w:rFonts w:ascii="Calibri" w:hAnsi="Calibri" w:cs="Calibri"/>
          <w:sz w:val="21"/>
          <w:szCs w:val="21"/>
        </w:rPr>
        <w:t>Fast Break System 2</w:t>
      </w:r>
      <w:r>
        <w:rPr>
          <w:sz w:val="21"/>
          <w:szCs w:val="21"/>
        </w:rPr>
        <w:t>木地板系统符合欧洲标准</w:t>
      </w:r>
      <w:r>
        <w:rPr>
          <w:rFonts w:ascii="Calibri" w:hAnsi="Calibri" w:cs="Calibri"/>
          <w:sz w:val="21"/>
          <w:szCs w:val="21"/>
        </w:rPr>
        <w:t>EN14904</w:t>
      </w:r>
      <w:r>
        <w:rPr>
          <w:sz w:val="21"/>
          <w:szCs w:val="21"/>
        </w:rPr>
        <w:t>。</w:t>
      </w:r>
    </w:p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2008</w:t>
      </w:r>
      <w:r>
        <w:rPr>
          <w:sz w:val="21"/>
          <w:szCs w:val="21"/>
        </w:rPr>
        <w:t>北京奥运会和</w:t>
      </w:r>
      <w:r>
        <w:rPr>
          <w:rFonts w:ascii="Calibri" w:hAnsi="Calibri" w:cs="Calibri"/>
          <w:sz w:val="21"/>
          <w:szCs w:val="21"/>
        </w:rPr>
        <w:t>2010</w:t>
      </w:r>
      <w:r>
        <w:rPr>
          <w:sz w:val="21"/>
          <w:szCs w:val="21"/>
        </w:rPr>
        <w:t>土耳其的世界篮球锦标赛均使用该系统。</w:t>
      </w:r>
    </w:p>
    <w:p w:rsidR="005751D8" w:rsidRPr="005751D8" w:rsidRDefault="005751D8" w:rsidP="005751D8">
      <w:pPr>
        <w:spacing w:line="480" w:lineRule="auto"/>
        <w:rPr>
          <w:rFonts w:hint="eastAsia"/>
        </w:rPr>
      </w:pPr>
    </w:p>
    <w:p w:rsidR="005751D8" w:rsidRDefault="005751D8" w:rsidP="005751D8">
      <w:pPr>
        <w:spacing w:line="480" w:lineRule="auto"/>
        <w:rPr>
          <w:rFonts w:hint="eastAsia"/>
        </w:rPr>
      </w:pPr>
      <w:r w:rsidRPr="005751D8">
        <w:lastRenderedPageBreak/>
        <w:drawing>
          <wp:inline distT="0" distB="0" distL="0" distR="0">
            <wp:extent cx="4514850" cy="2981325"/>
            <wp:effectExtent l="19050" t="0" r="0" b="0"/>
            <wp:docPr id="3" name="图片 2" descr="C:\Users\YAKIUSER10\Desktop\体育产品色块及效果图\fast break system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KIUSER10\Desktop\体育产品色块及效果图\fast break system 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1D8" w:rsidRPr="005751D8" w:rsidRDefault="005751D8" w:rsidP="005751D8">
      <w:pPr>
        <w:pStyle w:val="Default"/>
        <w:spacing w:line="480" w:lineRule="auto"/>
        <w:rPr>
          <w:rFonts w:hint="eastAsia"/>
          <w:b/>
          <w:color w:val="C00000"/>
          <w:sz w:val="21"/>
          <w:szCs w:val="21"/>
        </w:rPr>
      </w:pPr>
      <w:r w:rsidRPr="005751D8">
        <w:rPr>
          <w:rFonts w:hint="eastAsia"/>
          <w:b/>
          <w:color w:val="C00000"/>
          <w:sz w:val="21"/>
          <w:szCs w:val="21"/>
        </w:rPr>
        <w:t>技术特征：</w:t>
      </w:r>
    </w:p>
    <w:p w:rsidR="005751D8" w:rsidRDefault="005751D8" w:rsidP="005751D8">
      <w:pPr>
        <w:pStyle w:val="Default"/>
        <w:numPr>
          <w:ilvl w:val="0"/>
          <w:numId w:val="1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可移动式区域地板系统由</w:t>
      </w:r>
      <w:proofErr w:type="gramStart"/>
      <w:r>
        <w:rPr>
          <w:rFonts w:hint="eastAsia"/>
          <w:sz w:val="21"/>
          <w:szCs w:val="21"/>
        </w:rPr>
        <w:t>各种饰</w:t>
      </w:r>
      <w:proofErr w:type="gramEnd"/>
      <w:r>
        <w:rPr>
          <w:rFonts w:hint="eastAsia"/>
          <w:sz w:val="21"/>
          <w:szCs w:val="21"/>
        </w:rPr>
        <w:t>面的面层和承重酚醛</w:t>
      </w:r>
      <w:proofErr w:type="gramStart"/>
      <w:r>
        <w:rPr>
          <w:rFonts w:hint="eastAsia"/>
          <w:sz w:val="21"/>
          <w:szCs w:val="21"/>
        </w:rPr>
        <w:t>海洋级</w:t>
      </w:r>
      <w:proofErr w:type="gramEnd"/>
      <w:r>
        <w:rPr>
          <w:rFonts w:hint="eastAsia"/>
          <w:sz w:val="21"/>
          <w:szCs w:val="21"/>
        </w:rPr>
        <w:t>防水胶合板基层构成。</w:t>
      </w:r>
    </w:p>
    <w:p w:rsidR="005751D8" w:rsidRDefault="005751D8" w:rsidP="005751D8">
      <w:pPr>
        <w:pStyle w:val="Default"/>
        <w:numPr>
          <w:ilvl w:val="0"/>
          <w:numId w:val="1"/>
        </w:numPr>
        <w:spacing w:line="48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快速</w:t>
      </w:r>
      <w:proofErr w:type="gramStart"/>
      <w:r>
        <w:rPr>
          <w:rFonts w:hint="eastAsia"/>
          <w:sz w:val="21"/>
          <w:szCs w:val="21"/>
        </w:rPr>
        <w:t>联锁</w:t>
      </w:r>
      <w:proofErr w:type="gramEnd"/>
      <w:r>
        <w:rPr>
          <w:rFonts w:hint="eastAsia"/>
          <w:sz w:val="21"/>
          <w:szCs w:val="21"/>
        </w:rPr>
        <w:t>系统由加装了</w:t>
      </w:r>
      <w:proofErr w:type="gramStart"/>
      <w:r>
        <w:rPr>
          <w:rFonts w:hint="eastAsia"/>
          <w:sz w:val="21"/>
          <w:szCs w:val="21"/>
        </w:rPr>
        <w:t>塑料夹更方便</w:t>
      </w:r>
      <w:proofErr w:type="gramEnd"/>
      <w:r>
        <w:rPr>
          <w:rFonts w:hint="eastAsia"/>
          <w:sz w:val="21"/>
          <w:szCs w:val="21"/>
        </w:rPr>
        <w:t>使用，该塑料夹在损坏时可以更换，而且不会损坏</w:t>
      </w:r>
    </w:p>
    <w:p w:rsidR="005751D8" w:rsidRDefault="005751D8" w:rsidP="005751D8">
      <w:pPr>
        <w:pStyle w:val="Default"/>
        <w:spacing w:line="480" w:lineRule="auto"/>
        <w:ind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>地板</w:t>
      </w:r>
      <w:r w:rsidRPr="005751D8">
        <w:rPr>
          <w:rFonts w:hint="eastAsia"/>
          <w:sz w:val="21"/>
          <w:szCs w:val="21"/>
        </w:rPr>
        <w:t>本身。橡胶支座使整个表面上的弹性响应均匀一致。</w:t>
      </w:r>
    </w:p>
    <w:p w:rsidR="005751D8" w:rsidRPr="005751D8" w:rsidRDefault="005751D8" w:rsidP="005751D8">
      <w:pPr>
        <w:pStyle w:val="Default"/>
        <w:spacing w:line="480" w:lineRule="auto"/>
        <w:ind w:left="1054" w:hangingChars="500" w:hanging="1054"/>
        <w:rPr>
          <w:rFonts w:hint="eastAsia"/>
          <w:color w:val="C00000"/>
          <w:sz w:val="21"/>
          <w:szCs w:val="21"/>
        </w:rPr>
      </w:pPr>
      <w:r w:rsidRPr="005751D8">
        <w:rPr>
          <w:rFonts w:hint="eastAsia"/>
          <w:b/>
          <w:color w:val="C00000"/>
          <w:sz w:val="21"/>
          <w:szCs w:val="21"/>
        </w:rPr>
        <w:t>功能优势</w:t>
      </w:r>
      <w:r w:rsidRPr="005751D8">
        <w:rPr>
          <w:rFonts w:hint="eastAsia"/>
          <w:color w:val="C00000"/>
          <w:sz w:val="21"/>
          <w:szCs w:val="21"/>
        </w:rPr>
        <w:t>：</w:t>
      </w:r>
    </w:p>
    <w:p w:rsidR="005751D8" w:rsidRDefault="005751D8" w:rsidP="005751D8">
      <w:pPr>
        <w:pStyle w:val="Default"/>
        <w:numPr>
          <w:ilvl w:val="0"/>
          <w:numId w:val="2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由于独有的快速连锁系统不需要额外的紧固件：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名安装人员可在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小时内铺装完成，因此拆装快速简易。</w:t>
      </w:r>
    </w:p>
    <w:p w:rsidR="005751D8" w:rsidRDefault="005751D8" w:rsidP="005751D8">
      <w:pPr>
        <w:pStyle w:val="Default"/>
        <w:numPr>
          <w:ilvl w:val="0"/>
          <w:numId w:val="2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可将块材放在专用集装箱中，以备后续存储。</w:t>
      </w:r>
    </w:p>
    <w:p w:rsidR="005751D8" w:rsidRDefault="005751D8" w:rsidP="005751D8">
      <w:pPr>
        <w:pStyle w:val="Default"/>
        <w:numPr>
          <w:ilvl w:val="0"/>
          <w:numId w:val="2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供货包括场地周边的铝周长。</w:t>
      </w:r>
    </w:p>
    <w:p w:rsidR="005751D8" w:rsidRDefault="005751D8" w:rsidP="005751D8">
      <w:pPr>
        <w:pStyle w:val="Default"/>
        <w:spacing w:line="480" w:lineRule="auto"/>
        <w:rPr>
          <w:rFonts w:hint="eastAsia"/>
          <w:sz w:val="21"/>
          <w:szCs w:val="21"/>
        </w:rPr>
      </w:pPr>
      <w:r w:rsidRPr="005751D8">
        <w:rPr>
          <w:rFonts w:hint="eastAsia"/>
          <w:b/>
          <w:color w:val="C00000"/>
          <w:sz w:val="21"/>
          <w:szCs w:val="21"/>
        </w:rPr>
        <w:t>饰面：</w:t>
      </w:r>
    </w:p>
    <w:p w:rsidR="005751D8" w:rsidRDefault="005751D8" w:rsidP="005751D8">
      <w:pPr>
        <w:pStyle w:val="Default"/>
        <w:numPr>
          <w:ilvl w:val="0"/>
          <w:numId w:val="3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该地板由多种饰面：</w:t>
      </w:r>
      <w:r>
        <w:rPr>
          <w:rFonts w:hint="eastAsia"/>
          <w:sz w:val="21"/>
          <w:szCs w:val="21"/>
        </w:rPr>
        <w:t>FAST BREAK SYSTEM 2</w:t>
      </w:r>
      <w:r>
        <w:rPr>
          <w:rFonts w:hint="eastAsia"/>
          <w:sz w:val="21"/>
          <w:szCs w:val="21"/>
        </w:rPr>
        <w:t>木地板，采用实木饰面（专为篮球比赛设计）。</w:t>
      </w:r>
    </w:p>
    <w:p w:rsidR="005751D8" w:rsidRPr="005751D8" w:rsidRDefault="005751D8" w:rsidP="005751D8">
      <w:pPr>
        <w:pStyle w:val="Default"/>
        <w:numPr>
          <w:ilvl w:val="0"/>
          <w:numId w:val="3"/>
        </w:numPr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FAST BREAK SYSTEM 2</w:t>
      </w:r>
      <w:r>
        <w:rPr>
          <w:rFonts w:hint="eastAsia"/>
          <w:sz w:val="21"/>
          <w:szCs w:val="21"/>
        </w:rPr>
        <w:t>复合地板，采用</w:t>
      </w:r>
      <w:r>
        <w:rPr>
          <w:rFonts w:hint="eastAsia"/>
          <w:sz w:val="21"/>
          <w:szCs w:val="21"/>
        </w:rPr>
        <w:t>HPL</w:t>
      </w:r>
      <w:r>
        <w:rPr>
          <w:rFonts w:hint="eastAsia"/>
          <w:sz w:val="21"/>
          <w:szCs w:val="21"/>
        </w:rPr>
        <w:t>复合板饰面（专为室内五</w:t>
      </w:r>
      <w:proofErr w:type="gramStart"/>
      <w:r>
        <w:rPr>
          <w:rFonts w:hint="eastAsia"/>
          <w:sz w:val="21"/>
          <w:szCs w:val="21"/>
        </w:rPr>
        <w:t>人制</w:t>
      </w:r>
      <w:proofErr w:type="gramEnd"/>
      <w:r>
        <w:rPr>
          <w:rFonts w:hint="eastAsia"/>
          <w:sz w:val="21"/>
          <w:szCs w:val="21"/>
        </w:rPr>
        <w:t>足球比赛设计）。</w:t>
      </w:r>
      <w:proofErr w:type="spellStart"/>
      <w:r w:rsidRPr="005751D8">
        <w:rPr>
          <w:rFonts w:hint="eastAsia"/>
          <w:sz w:val="21"/>
          <w:szCs w:val="21"/>
        </w:rPr>
        <w:t>Mondosport</w:t>
      </w:r>
      <w:proofErr w:type="spellEnd"/>
      <w:r w:rsidRPr="005751D8">
        <w:rPr>
          <w:rFonts w:hint="eastAsia"/>
          <w:sz w:val="21"/>
          <w:szCs w:val="21"/>
        </w:rPr>
        <w:t>饰面（为综合运动比赛设计）。</w:t>
      </w:r>
    </w:p>
    <w:p w:rsidR="005751D8" w:rsidRPr="005751D8" w:rsidRDefault="005751D8" w:rsidP="005751D8">
      <w:pPr>
        <w:pStyle w:val="Default"/>
        <w:spacing w:line="480" w:lineRule="auto"/>
        <w:rPr>
          <w:b/>
          <w:color w:val="C00000"/>
          <w:sz w:val="21"/>
          <w:szCs w:val="21"/>
        </w:rPr>
      </w:pPr>
      <w:r w:rsidRPr="005751D8">
        <w:rPr>
          <w:rFonts w:hint="eastAsia"/>
          <w:b/>
          <w:color w:val="C00000"/>
          <w:sz w:val="21"/>
          <w:szCs w:val="21"/>
        </w:rPr>
        <w:lastRenderedPageBreak/>
        <w:t>尺寸信息：</w:t>
      </w:r>
    </w:p>
    <w:p w:rsidR="005751D8" w:rsidRPr="00FE47CE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FAST BREAK SYSTEM 2</w:t>
      </w:r>
      <w:r>
        <w:rPr>
          <w:rFonts w:hint="eastAsia"/>
          <w:sz w:val="21"/>
          <w:szCs w:val="21"/>
        </w:rPr>
        <w:t>木地板</w:t>
      </w:r>
    </w:p>
    <w:tbl>
      <w:tblPr>
        <w:tblStyle w:val="a4"/>
        <w:tblW w:w="0" w:type="auto"/>
        <w:tblLook w:val="04A0"/>
      </w:tblPr>
      <w:tblGrid>
        <w:gridCol w:w="4242"/>
        <w:gridCol w:w="4280"/>
      </w:tblGrid>
      <w:tr w:rsidR="005751D8" w:rsidTr="005751D8">
        <w:tc>
          <w:tcPr>
            <w:tcW w:w="4242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厚度</w:t>
            </w:r>
          </w:p>
        </w:tc>
        <w:tc>
          <w:tcPr>
            <w:tcW w:w="4280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48mm</w:t>
            </w:r>
          </w:p>
        </w:tc>
      </w:tr>
      <w:tr w:rsidR="005751D8" w:rsidTr="005751D8">
        <w:tc>
          <w:tcPr>
            <w:tcW w:w="4242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重量</w:t>
            </w:r>
          </w:p>
        </w:tc>
        <w:tc>
          <w:tcPr>
            <w:tcW w:w="4280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14kg/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751D8" w:rsidTr="005751D8">
        <w:tc>
          <w:tcPr>
            <w:tcW w:w="4242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块材</w:t>
            </w:r>
          </w:p>
        </w:tc>
        <w:tc>
          <w:tcPr>
            <w:tcW w:w="4280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60cm/60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</w:t>
            </w:r>
          </w:p>
        </w:tc>
      </w:tr>
    </w:tbl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FAST BREAK SYSTEM 2</w:t>
      </w:r>
      <w:r>
        <w:rPr>
          <w:rFonts w:hint="eastAsia"/>
          <w:sz w:val="21"/>
          <w:szCs w:val="21"/>
        </w:rPr>
        <w:t>复合地板</w:t>
      </w:r>
    </w:p>
    <w:tbl>
      <w:tblPr>
        <w:tblStyle w:val="a4"/>
        <w:tblW w:w="8472" w:type="dxa"/>
        <w:tblLook w:val="04A0"/>
      </w:tblPr>
      <w:tblGrid>
        <w:gridCol w:w="4491"/>
        <w:gridCol w:w="3981"/>
      </w:tblGrid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厚度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45.8mm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重量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17kg/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块材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60cm/60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</w:t>
            </w:r>
          </w:p>
        </w:tc>
      </w:tr>
    </w:tbl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FAST BREAK SYSTEM 2 </w:t>
      </w:r>
      <w:proofErr w:type="spellStart"/>
      <w:r>
        <w:rPr>
          <w:rFonts w:hint="eastAsia"/>
          <w:sz w:val="21"/>
          <w:szCs w:val="21"/>
        </w:rPr>
        <w:t>Mondoflex</w:t>
      </w:r>
      <w:proofErr w:type="spellEnd"/>
    </w:p>
    <w:tbl>
      <w:tblPr>
        <w:tblStyle w:val="a4"/>
        <w:tblW w:w="8472" w:type="dxa"/>
        <w:tblLook w:val="04A0"/>
      </w:tblPr>
      <w:tblGrid>
        <w:gridCol w:w="4491"/>
        <w:gridCol w:w="3981"/>
      </w:tblGrid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厚度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38mm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重量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19.8kg/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块材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60cm/60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</w:t>
            </w:r>
          </w:p>
        </w:tc>
      </w:tr>
    </w:tbl>
    <w:p w:rsidR="005751D8" w:rsidRDefault="005751D8" w:rsidP="005751D8">
      <w:pPr>
        <w:pStyle w:val="Default"/>
        <w:spacing w:line="48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FAST BREAK SYSTEM 2 </w:t>
      </w:r>
      <w:proofErr w:type="spellStart"/>
      <w:r>
        <w:rPr>
          <w:rFonts w:hint="eastAsia"/>
          <w:sz w:val="21"/>
          <w:szCs w:val="21"/>
        </w:rPr>
        <w:t>Mondosport</w:t>
      </w:r>
      <w:proofErr w:type="spellEnd"/>
    </w:p>
    <w:tbl>
      <w:tblPr>
        <w:tblStyle w:val="a4"/>
        <w:tblW w:w="8472" w:type="dxa"/>
        <w:tblLook w:val="04A0"/>
      </w:tblPr>
      <w:tblGrid>
        <w:gridCol w:w="4491"/>
        <w:gridCol w:w="3981"/>
      </w:tblGrid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厚度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46.5mm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重量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 kg/</w:t>
            </w: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5751D8" w:rsidTr="005751D8">
        <w:tc>
          <w:tcPr>
            <w:tcW w:w="449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块材</w:t>
            </w:r>
          </w:p>
        </w:tc>
        <w:tc>
          <w:tcPr>
            <w:tcW w:w="3981" w:type="dxa"/>
          </w:tcPr>
          <w:p w:rsidR="005751D8" w:rsidRDefault="005751D8" w:rsidP="005751D8">
            <w:pPr>
              <w:pStyle w:val="Default"/>
              <w:spacing w:line="48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60cm/60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hint="eastAsia"/>
                <w:sz w:val="21"/>
                <w:szCs w:val="21"/>
              </w:rPr>
              <w:t>60cm</w:t>
            </w:r>
          </w:p>
        </w:tc>
      </w:tr>
    </w:tbl>
    <w:p w:rsidR="005751D8" w:rsidRPr="00FE47CE" w:rsidRDefault="005751D8" w:rsidP="005751D8">
      <w:pPr>
        <w:pStyle w:val="Default"/>
        <w:spacing w:line="480" w:lineRule="auto"/>
        <w:rPr>
          <w:sz w:val="21"/>
          <w:szCs w:val="21"/>
        </w:rPr>
      </w:pPr>
      <w:r w:rsidRPr="005751D8">
        <w:rPr>
          <w:rFonts w:hint="eastAsia"/>
          <w:b/>
          <w:color w:val="C00000"/>
          <w:sz w:val="21"/>
          <w:szCs w:val="21"/>
        </w:rPr>
        <w:t>认证和批准：</w:t>
      </w:r>
      <w:r>
        <w:rPr>
          <w:rFonts w:hint="eastAsia"/>
          <w:sz w:val="21"/>
          <w:szCs w:val="21"/>
        </w:rPr>
        <w:t>FIBA</w:t>
      </w:r>
      <w:r>
        <w:rPr>
          <w:rFonts w:hint="eastAsia"/>
          <w:sz w:val="21"/>
          <w:szCs w:val="21"/>
        </w:rPr>
        <w:t>木地板类别批准证书（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级、</w:t>
      </w:r>
      <w:r>
        <w:rPr>
          <w:rFonts w:hint="eastAsia"/>
          <w:sz w:val="21"/>
          <w:szCs w:val="21"/>
        </w:rPr>
        <w:t>2</w:t>
      </w:r>
      <w:r>
        <w:rPr>
          <w:rFonts w:hint="eastAsia"/>
          <w:sz w:val="21"/>
          <w:szCs w:val="21"/>
        </w:rPr>
        <w:t>级和</w:t>
      </w:r>
      <w:r>
        <w:rPr>
          <w:rFonts w:hint="eastAsia"/>
          <w:sz w:val="21"/>
          <w:szCs w:val="21"/>
        </w:rPr>
        <w:t>3</w:t>
      </w:r>
      <w:r>
        <w:rPr>
          <w:rFonts w:hint="eastAsia"/>
          <w:sz w:val="21"/>
          <w:szCs w:val="21"/>
        </w:rPr>
        <w:t>级）</w:t>
      </w:r>
    </w:p>
    <w:p w:rsidR="005751D8" w:rsidRPr="005751D8" w:rsidRDefault="005751D8" w:rsidP="005751D8">
      <w:pPr>
        <w:spacing w:line="480" w:lineRule="auto"/>
      </w:pPr>
    </w:p>
    <w:sectPr w:rsidR="005751D8" w:rsidRPr="005751D8" w:rsidSect="00E35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61A22"/>
    <w:multiLevelType w:val="hybridMultilevel"/>
    <w:tmpl w:val="A4502F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04F5446"/>
    <w:multiLevelType w:val="hybridMultilevel"/>
    <w:tmpl w:val="B17EE1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61B2AF0"/>
    <w:multiLevelType w:val="hybridMultilevel"/>
    <w:tmpl w:val="FBEC5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1D8"/>
    <w:rsid w:val="005751D8"/>
    <w:rsid w:val="00E35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1D8"/>
    <w:rPr>
      <w:sz w:val="18"/>
      <w:szCs w:val="18"/>
    </w:rPr>
  </w:style>
  <w:style w:type="paragraph" w:customStyle="1" w:styleId="Default">
    <w:name w:val="Default"/>
    <w:rsid w:val="005751D8"/>
    <w:pPr>
      <w:widowControl w:val="0"/>
      <w:autoSpaceDE w:val="0"/>
      <w:autoSpaceDN w:val="0"/>
      <w:adjustRightInd w:val="0"/>
    </w:pPr>
    <w:rPr>
      <w:rFonts w:ascii="SimSun" w:hAnsi="SimSun" w:cs="SimSun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5751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YAKIUSER1</dc:creator>
  <cp:lastModifiedBy>YAKIUSER1</cp:lastModifiedBy>
  <cp:revision>1</cp:revision>
  <dcterms:created xsi:type="dcterms:W3CDTF">2016-01-18T03:28:00Z</dcterms:created>
  <dcterms:modified xsi:type="dcterms:W3CDTF">2016-01-18T03:32:00Z</dcterms:modified>
</cp:coreProperties>
</file>